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AA" w:rsidRPr="00C97CC2" w:rsidRDefault="00D557AA" w:rsidP="00D557AA">
      <w:pPr>
        <w:spacing w:before="180" w:after="0" w:line="240" w:lineRule="auto"/>
        <w:textAlignment w:val="baseline"/>
        <w:outlineLvl w:val="0"/>
        <w:rPr>
          <w:rFonts w:ascii="Georgia" w:eastAsia="Times New Roman" w:hAnsi="Georgia" w:cs="Calibri"/>
          <w:color w:val="000000"/>
          <w:spacing w:val="-15"/>
          <w:kern w:val="36"/>
          <w:sz w:val="48"/>
          <w:szCs w:val="48"/>
        </w:rPr>
      </w:pPr>
      <w:r w:rsidRPr="009E7E10">
        <w:rPr>
          <w:rFonts w:ascii="Georgia" w:eastAsia="Times New Roman" w:hAnsi="Georgia" w:cs="Calibri"/>
          <w:i/>
          <w:color w:val="000000"/>
          <w:spacing w:val="-15"/>
          <w:kern w:val="36"/>
          <w:sz w:val="48"/>
          <w:szCs w:val="48"/>
        </w:rPr>
        <w:t>Roe v. Wade</w:t>
      </w:r>
      <w:r w:rsidRPr="009E7E10">
        <w:rPr>
          <w:rFonts w:ascii="Georgia" w:eastAsia="Times New Roman" w:hAnsi="Georgia" w:cs="Calibri"/>
          <w:color w:val="000000"/>
          <w:spacing w:val="-15"/>
          <w:kern w:val="36"/>
          <w:sz w:val="48"/>
          <w:szCs w:val="48"/>
        </w:rPr>
        <w:t xml:space="preserve"> </w:t>
      </w:r>
      <w:r w:rsidRPr="00C97CC2">
        <w:rPr>
          <w:rFonts w:ascii="Georgia" w:eastAsia="Times New Roman" w:hAnsi="Georgia" w:cs="Calibri"/>
          <w:color w:val="000000"/>
          <w:spacing w:val="-15"/>
          <w:kern w:val="36"/>
          <w:sz w:val="48"/>
          <w:szCs w:val="48"/>
        </w:rPr>
        <w:t>Key excerpts from the majority opinion</w:t>
      </w:r>
    </w:p>
    <w:p w:rsidR="00D557AA" w:rsidRPr="00C97CC2" w:rsidRDefault="00D557AA" w:rsidP="00D557AA">
      <w:pPr>
        <w:shd w:val="clear" w:color="auto" w:fill="FFFFFF"/>
        <w:spacing w:before="45" w:after="120" w:line="240" w:lineRule="auto"/>
        <w:textAlignment w:val="baseline"/>
        <w:rPr>
          <w:rFonts w:ascii="inherit" w:eastAsia="Times New Roman" w:hAnsi="inherit" w:cs="Calibri"/>
          <w:color w:val="222222"/>
          <w:sz w:val="16"/>
          <w:szCs w:val="16"/>
        </w:rPr>
      </w:pPr>
      <w:r w:rsidRPr="00C97CC2">
        <w:rPr>
          <w:rFonts w:ascii="inherit" w:eastAsia="Times New Roman" w:hAnsi="inherit" w:cs="Calibri"/>
          <w:color w:val="222222"/>
          <w:sz w:val="16"/>
          <w:szCs w:val="16"/>
        </w:rPr>
        <w:t>MR. JUSTICE BLACKMUN delivered the opinion of the Court. Chief Justice Burger and Justices Douglas, Brennan, Stewart, Marshall and Powell joined the opinion.</w:t>
      </w:r>
    </w:p>
    <w:p w:rsidR="00D557AA" w:rsidRPr="00097B61" w:rsidRDefault="00D557AA" w:rsidP="00D557AA">
      <w:pPr>
        <w:shd w:val="clear" w:color="auto" w:fill="FFFFFF"/>
        <w:spacing w:before="120" w:after="120"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…We forthwith acknowledge our awareness of the sensitive and emotional nature of the abortion controversy, of the vigorous opposing views, even among physicians, and of the deep and seemingly absolute convictions that the subject inspires. One's philosophy, one's experiences, one's exposure to the raw edges of human existence, one's religious training, one's attitudes toward life and family and their values, and the moral standards one establishes and seeks to observe, are all likely to influence and to color one's thinking and conclusions about abortion.</w:t>
      </w:r>
    </w:p>
    <w:p w:rsidR="00D557AA" w:rsidRPr="00097B61" w:rsidRDefault="00D557AA" w:rsidP="00D557AA">
      <w:pPr>
        <w:shd w:val="clear" w:color="auto" w:fill="FFFFFF"/>
        <w:spacing w:before="120" w:after="120"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…The principal thrust of appellant's attack on the Texas statutes is that they improperly invade a right, said to be possessed by the pregnant woman, to choose to terminate her pregnancy. Appellant would discover this right in the concept of personal "liberty" embodied in the Fourteenth Amendment's Due Process Clause; or in personal, marital, familial, and sexual privacy said to be protected by the Bill of Rights or its penumbras.</w:t>
      </w:r>
    </w:p>
    <w:p w:rsidR="00D557AA" w:rsidRPr="00097B61" w:rsidRDefault="00D557AA" w:rsidP="00D557AA">
      <w:pPr>
        <w:shd w:val="clear" w:color="auto" w:fill="FFFFFF"/>
        <w:spacing w:before="120" w:after="120"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 xml:space="preserve">…The Constitution does not explicitly mention any right of privacy. …[T]he Court has recognized that a right of personal privacy, or a guarantee of certain areas or zones of privacy, does exist under the Constitution. …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The detriment that the State would impose upon the pregnant woman by denying this choice altogether is apparent. Specific and direct harm medically diagnosable even in early pregnancy may be involved. Maternity, or additional offspring, may force upon the woman a distressful life and future. Psychological harm may be imminent. Mental and physical health may be taxed by child care. There is also the distress, for all concerned, associated with the unwanted child, and there is the problem of bringing a child into a family already unable, psychologically and otherwise, to care for it. In other cases, as in this one, the additional difficulties and continuing stigma of unwed motherhood may be involved. All these are </w:t>
      </w:r>
      <w:proofErr w:type="gramStart"/>
      <w:r w:rsidRPr="00097B61">
        <w:rPr>
          <w:rFonts w:ascii="Times New Roman" w:eastAsia="Times New Roman" w:hAnsi="Times New Roman" w:cs="Times New Roman"/>
          <w:color w:val="222222"/>
        </w:rPr>
        <w:t>factors</w:t>
      </w:r>
      <w:proofErr w:type="gramEnd"/>
      <w:r w:rsidRPr="00097B61">
        <w:rPr>
          <w:rFonts w:ascii="Times New Roman" w:eastAsia="Times New Roman" w:hAnsi="Times New Roman" w:cs="Times New Roman"/>
          <w:color w:val="222222"/>
        </w:rPr>
        <w:t xml:space="preserve"> the woman and her responsible physician necessarily will consider in consultation.</w:t>
      </w:r>
    </w:p>
    <w:p w:rsidR="00D557AA" w:rsidRPr="00097B61" w:rsidRDefault="00D557AA" w:rsidP="00D557AA">
      <w:pPr>
        <w:shd w:val="clear" w:color="auto" w:fill="FFFFFF"/>
        <w:spacing w:before="120" w:after="120"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On the basis of elements such as these, appellant and some amici argue that the woman's right is absolute and that she is entitled to terminate her pregnancy at whatever time, in whatever way, and for whatever reason she alone chooses. With this we do not agree. Appellant's arguments that Texas either has no valid interest at all in regulating the abortion decision, or no interest strong enough to support any limitation upon the woman's sole determination, are unpersuasive. The Court's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that govern the abortion decision. The privacy right involved, therefore, cannot be said to be absolute</w:t>
      </w:r>
      <w:proofErr w:type="gramStart"/>
      <w:r w:rsidRPr="00097B61">
        <w:rPr>
          <w:rFonts w:ascii="Times New Roman" w:eastAsia="Times New Roman" w:hAnsi="Times New Roman" w:cs="Times New Roman"/>
          <w:color w:val="222222"/>
        </w:rPr>
        <w:t>….We</w:t>
      </w:r>
      <w:proofErr w:type="gramEnd"/>
      <w:r w:rsidRPr="00097B61">
        <w:rPr>
          <w:rFonts w:ascii="Times New Roman" w:eastAsia="Times New Roman" w:hAnsi="Times New Roman" w:cs="Times New Roman"/>
          <w:color w:val="222222"/>
        </w:rPr>
        <w:t>, therefore, conclude that the right of personal privacy includes the abortion decision, but that this right is not unqualified, and must be considered against important state interests in regulation.</w:t>
      </w:r>
    </w:p>
    <w:p w:rsidR="00D557AA" w:rsidRPr="00097B61" w:rsidRDefault="00D557AA" w:rsidP="00D557AA">
      <w:pPr>
        <w:shd w:val="clear" w:color="auto" w:fill="FFFFFF"/>
        <w:spacing w:before="120" w:after="120"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 (a) For the stage prior to approximately the end of the first trimester, the abortion decision and its effectuation must be left to the medical judgment of the pregnant woman's attending physician.</w:t>
      </w:r>
    </w:p>
    <w:p w:rsidR="00D557AA" w:rsidRPr="00097B61" w:rsidRDefault="00D557AA" w:rsidP="00D557AA">
      <w:pPr>
        <w:shd w:val="clear" w:color="auto" w:fill="FFFFFF"/>
        <w:spacing w:before="120" w:after="120"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(b) For the stage subsequent to approximately the end of the first trimester, the State, in promoting its interest in the health of the mother, may, if it chooses, regulate the abortion procedure in ways that are reasonably related to maternal health.</w:t>
      </w:r>
    </w:p>
    <w:p w:rsidR="00D557AA" w:rsidRPr="00097B61" w:rsidRDefault="00D557AA" w:rsidP="00D557AA">
      <w:pPr>
        <w:shd w:val="clear" w:color="auto" w:fill="FFFFFF"/>
        <w:spacing w:before="120" w:after="120"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(c) For the stage subsequent to viability, the State in promoting its interest in the potentiality of human life may, if it chooses, regulate, and even proscribe, abortion except where it is necessary, in appropriate medical judgment, for the preservation of the life or health of the mother.</w:t>
      </w:r>
    </w:p>
    <w:p w:rsidR="00D557AA" w:rsidRDefault="00D557AA" w:rsidP="00D557AA">
      <w:pPr>
        <w:shd w:val="clear" w:color="auto" w:fill="FFFFFF"/>
        <w:spacing w:after="0" w:line="240" w:lineRule="auto"/>
        <w:textAlignment w:val="baseline"/>
        <w:rPr>
          <w:rFonts w:ascii="Calibri" w:eastAsia="Times New Roman" w:hAnsi="Calibri" w:cs="Calibri"/>
          <w:b/>
          <w:bCs/>
          <w:caps/>
          <w:color w:val="7F0000"/>
          <w:spacing w:val="15"/>
          <w:sz w:val="24"/>
          <w:szCs w:val="24"/>
        </w:rPr>
      </w:pPr>
      <w:r w:rsidRPr="00097B61">
        <w:rPr>
          <w:rFonts w:ascii="Times New Roman" w:eastAsia="Times New Roman" w:hAnsi="Times New Roman" w:cs="Times New Roman"/>
          <w:color w:val="222222"/>
        </w:rPr>
        <w:t>This holding, we feel, is consistent with the relative weights of the respective interests involved, with the lessons and examples of medical and legal history, with the lenity of the common law, and with the demands of the profound problems of the present day. The decision leaves the State free to place increasing restrictions on abortion as the period of pregnancy lengthens, so long as those restrictions are tailored to the recognized state interests. The decision vindicates the right of the physician to administer medical treatment according to his professional judgment up to the points where important state interests provide compelling justifications for intervention. Up to those points, the abortion decision in all its aspects is inherently, and primarily, a medical decision, and basic responsibility for it must rest with the physician. If an individual practitioner abuses the privilege of exercising proper medical judgment, the usual remedies, judicial and intra-professional, are available.</w:t>
      </w:r>
      <w:r w:rsidRPr="00097B61">
        <w:rPr>
          <w:rFonts w:ascii="inherit" w:eastAsia="Times New Roman" w:hAnsi="inherit" w:cs="Calibri"/>
          <w:color w:val="222222"/>
        </w:rPr>
        <w:t> </w:t>
      </w:r>
      <w:r w:rsidRPr="00097B61">
        <w:rPr>
          <w:rFonts w:ascii="inherit" w:eastAsia="Times New Roman" w:hAnsi="inherit" w:cs="Calibri"/>
          <w:color w:val="222222"/>
        </w:rPr>
        <w:br/>
      </w:r>
      <w:r>
        <w:rPr>
          <w:rFonts w:ascii="Calibri" w:eastAsia="Times New Roman" w:hAnsi="Calibri" w:cs="Calibri"/>
          <w:b/>
          <w:bCs/>
          <w:caps/>
          <w:color w:val="7F0000"/>
          <w:spacing w:val="15"/>
          <w:sz w:val="24"/>
          <w:szCs w:val="24"/>
        </w:rPr>
        <w:tab/>
      </w:r>
    </w:p>
    <w:p w:rsidR="00D557AA" w:rsidRDefault="00D557AA" w:rsidP="00D557AA">
      <w:pPr>
        <w:shd w:val="clear" w:color="auto" w:fill="FFFFFF"/>
        <w:spacing w:after="0" w:line="240" w:lineRule="auto"/>
        <w:textAlignment w:val="baseline"/>
        <w:rPr>
          <w:rFonts w:ascii="Calibri" w:eastAsia="Times New Roman" w:hAnsi="Calibri" w:cs="Calibri"/>
          <w:b/>
          <w:bCs/>
          <w:caps/>
          <w:color w:val="7F0000"/>
          <w:spacing w:val="15"/>
          <w:sz w:val="24"/>
          <w:szCs w:val="24"/>
        </w:rPr>
      </w:pPr>
    </w:p>
    <w:p w:rsidR="00D557AA" w:rsidRDefault="00D557AA" w:rsidP="00D557AA">
      <w:pPr>
        <w:shd w:val="clear" w:color="auto" w:fill="FFFFFF"/>
        <w:spacing w:after="0" w:line="240" w:lineRule="auto"/>
        <w:textAlignment w:val="baseline"/>
        <w:rPr>
          <w:rFonts w:ascii="Calibri" w:eastAsia="Times New Roman" w:hAnsi="Calibri" w:cs="Calibri"/>
          <w:b/>
          <w:bCs/>
          <w:caps/>
          <w:color w:val="7F0000"/>
          <w:spacing w:val="15"/>
          <w:sz w:val="24"/>
          <w:szCs w:val="24"/>
        </w:rPr>
      </w:pPr>
    </w:p>
    <w:p w:rsidR="00D557AA" w:rsidRPr="00097B61" w:rsidRDefault="00D557AA" w:rsidP="00D557AA">
      <w:pPr>
        <w:shd w:val="clear" w:color="auto" w:fill="FFFFFF"/>
        <w:spacing w:after="0" w:line="240" w:lineRule="auto"/>
        <w:textAlignment w:val="baseline"/>
        <w:rPr>
          <w:rFonts w:ascii="Times New Roman" w:eastAsia="Times New Roman" w:hAnsi="Times New Roman" w:cs="Times New Roman"/>
          <w:b/>
          <w:bCs/>
          <w:caps/>
          <w:color w:val="7F0000"/>
          <w:spacing w:val="15"/>
          <w:sz w:val="24"/>
          <w:szCs w:val="24"/>
        </w:rPr>
      </w:pPr>
      <w:bookmarkStart w:id="0" w:name="_GoBack"/>
      <w:bookmarkEnd w:id="0"/>
      <w:r w:rsidRPr="00097B61">
        <w:rPr>
          <w:rFonts w:ascii="Times New Roman" w:eastAsia="Times New Roman" w:hAnsi="Times New Roman" w:cs="Times New Roman"/>
          <w:b/>
          <w:bCs/>
          <w:caps/>
          <w:color w:val="7F0000"/>
          <w:spacing w:val="15"/>
          <w:sz w:val="24"/>
          <w:szCs w:val="24"/>
        </w:rPr>
        <w:lastRenderedPageBreak/>
        <w:tab/>
      </w:r>
      <w:r w:rsidRPr="00097B61">
        <w:rPr>
          <w:rFonts w:ascii="Times New Roman" w:eastAsia="Times New Roman" w:hAnsi="Times New Roman" w:cs="Times New Roman"/>
          <w:b/>
          <w:bCs/>
          <w:caps/>
          <w:color w:val="7F0000"/>
          <w:spacing w:val="15"/>
          <w:sz w:val="24"/>
          <w:szCs w:val="24"/>
        </w:rPr>
        <w:tab/>
      </w:r>
      <w:r w:rsidRPr="00097B61">
        <w:rPr>
          <w:rFonts w:ascii="Times New Roman" w:eastAsia="Times New Roman" w:hAnsi="Times New Roman" w:cs="Times New Roman"/>
          <w:b/>
          <w:bCs/>
          <w:caps/>
          <w:color w:val="7F0000"/>
          <w:spacing w:val="15"/>
          <w:sz w:val="24"/>
          <w:szCs w:val="24"/>
        </w:rPr>
        <w:tab/>
      </w:r>
      <w:r>
        <w:rPr>
          <w:rFonts w:ascii="Times New Roman" w:eastAsia="Times New Roman" w:hAnsi="Times New Roman" w:cs="Times New Roman"/>
          <w:b/>
          <w:bCs/>
          <w:caps/>
          <w:color w:val="7F0000"/>
          <w:spacing w:val="15"/>
          <w:sz w:val="24"/>
          <w:szCs w:val="24"/>
        </w:rPr>
        <w:tab/>
      </w:r>
      <w:r>
        <w:rPr>
          <w:rFonts w:ascii="Times New Roman" w:eastAsia="Times New Roman" w:hAnsi="Times New Roman" w:cs="Times New Roman"/>
          <w:b/>
          <w:bCs/>
          <w:caps/>
          <w:color w:val="7F0000"/>
          <w:spacing w:val="15"/>
          <w:sz w:val="24"/>
          <w:szCs w:val="24"/>
        </w:rPr>
        <w:tab/>
      </w:r>
      <w:r>
        <w:rPr>
          <w:rFonts w:ascii="Times New Roman" w:eastAsia="Times New Roman" w:hAnsi="Times New Roman" w:cs="Times New Roman"/>
          <w:b/>
          <w:bCs/>
          <w:caps/>
          <w:color w:val="7F0000"/>
          <w:spacing w:val="15"/>
          <w:sz w:val="12"/>
          <w:szCs w:val="12"/>
        </w:rPr>
        <w:br/>
      </w:r>
      <w:r>
        <w:rPr>
          <w:rFonts w:ascii="Times New Roman" w:eastAsia="Times New Roman" w:hAnsi="Times New Roman" w:cs="Times New Roman"/>
          <w:b/>
          <w:bCs/>
          <w:caps/>
          <w:color w:val="7F0000"/>
          <w:spacing w:val="15"/>
          <w:sz w:val="12"/>
          <w:szCs w:val="12"/>
        </w:rPr>
        <w:tab/>
      </w:r>
      <w:r>
        <w:rPr>
          <w:rFonts w:ascii="Times New Roman" w:eastAsia="Times New Roman" w:hAnsi="Times New Roman" w:cs="Times New Roman"/>
          <w:b/>
          <w:bCs/>
          <w:caps/>
          <w:color w:val="7F0000"/>
          <w:spacing w:val="15"/>
          <w:sz w:val="12"/>
          <w:szCs w:val="12"/>
        </w:rPr>
        <w:tab/>
      </w:r>
      <w:r>
        <w:rPr>
          <w:rFonts w:ascii="Times New Roman" w:eastAsia="Times New Roman" w:hAnsi="Times New Roman" w:cs="Times New Roman"/>
          <w:b/>
          <w:bCs/>
          <w:caps/>
          <w:color w:val="7F0000"/>
          <w:spacing w:val="15"/>
          <w:sz w:val="12"/>
          <w:szCs w:val="12"/>
        </w:rPr>
        <w:tab/>
      </w:r>
      <w:r>
        <w:rPr>
          <w:rFonts w:ascii="Times New Roman" w:eastAsia="Times New Roman" w:hAnsi="Times New Roman" w:cs="Times New Roman"/>
          <w:b/>
          <w:bCs/>
          <w:caps/>
          <w:color w:val="7F0000"/>
          <w:spacing w:val="15"/>
          <w:sz w:val="12"/>
          <w:szCs w:val="12"/>
        </w:rPr>
        <w:tab/>
      </w:r>
      <w:r>
        <w:rPr>
          <w:rFonts w:ascii="Times New Roman" w:eastAsia="Times New Roman" w:hAnsi="Times New Roman" w:cs="Times New Roman"/>
          <w:b/>
          <w:bCs/>
          <w:caps/>
          <w:color w:val="7F0000"/>
          <w:spacing w:val="15"/>
          <w:sz w:val="12"/>
          <w:szCs w:val="12"/>
        </w:rPr>
        <w:tab/>
      </w:r>
      <w:r w:rsidRPr="00097B61">
        <w:rPr>
          <w:rFonts w:ascii="Times New Roman" w:eastAsia="Times New Roman" w:hAnsi="Times New Roman" w:cs="Times New Roman"/>
          <w:b/>
          <w:bCs/>
          <w:caps/>
          <w:color w:val="7F0000"/>
          <w:spacing w:val="15"/>
          <w:sz w:val="24"/>
          <w:szCs w:val="24"/>
        </w:rPr>
        <w:t>QUESTIONS TO CONSIDER </w:t>
      </w: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r>
        <w:rPr>
          <w:rFonts w:ascii="Times New Roman" w:eastAsia="Times New Roman" w:hAnsi="Times New Roman" w:cs="Times New Roman"/>
          <w:color w:val="222222"/>
          <w:sz w:val="12"/>
          <w:szCs w:val="12"/>
        </w:rPr>
        <w:br/>
      </w:r>
      <w:r w:rsidRPr="00097B61">
        <w:rPr>
          <w:rFonts w:ascii="Times New Roman" w:eastAsia="Times New Roman" w:hAnsi="Times New Roman" w:cs="Times New Roman"/>
          <w:color w:val="222222"/>
        </w:rPr>
        <w:t>1. Where in the Constitution does the Court find support for the right to privacy? Do you agree that this provision of the Constitution protects a right to privacy? </w:t>
      </w: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2. What are the state’s interests in regulating abortion that are recognized by the Court? </w:t>
      </w: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3. How is the right to privacy in the abortion context different from other areas in which a right to privacy has been recognized? </w:t>
      </w: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4. Describe the right to an abortion that a woman has at each stage of pregnancy. </w:t>
      </w: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5. How well do you believe the opinion balances the interests of pregnant women and the interests of the state? Give reasons for your answer.</w:t>
      </w: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p>
    <w:p w:rsidR="00D557AA" w:rsidRPr="00097B61" w:rsidRDefault="00D557AA" w:rsidP="00D557AA">
      <w:pPr>
        <w:shd w:val="clear" w:color="auto" w:fill="FFFFFF"/>
        <w:tabs>
          <w:tab w:val="left" w:pos="360"/>
        </w:tabs>
        <w:spacing w:before="48" w:after="48" w:line="240" w:lineRule="auto"/>
        <w:textAlignment w:val="baseline"/>
        <w:rPr>
          <w:rFonts w:ascii="Times New Roman" w:eastAsia="Times New Roman" w:hAnsi="Times New Roman" w:cs="Times New Roman"/>
          <w:color w:val="222222"/>
        </w:rPr>
      </w:pPr>
      <w:r w:rsidRPr="00097B61">
        <w:rPr>
          <w:rFonts w:ascii="Times New Roman" w:eastAsia="Times New Roman" w:hAnsi="Times New Roman" w:cs="Times New Roman"/>
          <w:color w:val="222222"/>
        </w:rPr>
        <w:t>6. Justice Blackmun’s opinion is also concerned with preserving the relationship between the mother and the physician. How important is it to limit government regulation on the relationship between the doctor and the patient? Give reasons for your answer.</w:t>
      </w:r>
    </w:p>
    <w:p w:rsidR="00D557AA" w:rsidRDefault="00D557AA" w:rsidP="00D557AA"/>
    <w:p w:rsidR="00D557AA" w:rsidRDefault="00D557AA" w:rsidP="00D557AA"/>
    <w:p w:rsidR="00D557AA" w:rsidRDefault="00D557AA" w:rsidP="00D557AA"/>
    <w:p w:rsidR="00D557AA" w:rsidRDefault="00D557AA" w:rsidP="00D557AA"/>
    <w:p w:rsidR="00D557AA" w:rsidRDefault="00D557AA" w:rsidP="00D557AA"/>
    <w:p w:rsidR="00D557AA" w:rsidRPr="009D733A" w:rsidRDefault="00D557AA" w:rsidP="00D557AA">
      <w:pPr>
        <w:spacing w:before="180" w:after="45" w:line="240" w:lineRule="auto"/>
        <w:outlineLvl w:val="1"/>
        <w:rPr>
          <w:rFonts w:ascii="Georgia" w:eastAsia="Times New Roman" w:hAnsi="Georgia" w:cs="Calibri"/>
          <w:color w:val="000000"/>
          <w:spacing w:val="-15"/>
          <w:kern w:val="36"/>
        </w:rPr>
      </w:pPr>
      <w:r w:rsidRPr="002B3BC2">
        <w:rPr>
          <w:rFonts w:ascii="Georgia" w:eastAsia="Times New Roman" w:hAnsi="Georgia" w:cs="Calibri"/>
          <w:color w:val="000000"/>
          <w:spacing w:val="-15"/>
          <w:kern w:val="36"/>
          <w:sz w:val="54"/>
          <w:szCs w:val="54"/>
        </w:rPr>
        <w:lastRenderedPageBreak/>
        <w:t xml:space="preserve">Key excerpts from the dissenting opinion </w:t>
      </w:r>
      <w:r>
        <w:rPr>
          <w:rFonts w:ascii="Georgia" w:eastAsia="Times New Roman" w:hAnsi="Georgia" w:cs="Calibri"/>
          <w:color w:val="000000"/>
          <w:spacing w:val="-15"/>
          <w:kern w:val="36"/>
          <w:sz w:val="54"/>
          <w:szCs w:val="54"/>
        </w:rPr>
        <w:br/>
      </w:r>
      <w:r w:rsidRPr="002B3BC2">
        <w:rPr>
          <w:rFonts w:ascii="Calibri" w:eastAsia="Times New Roman" w:hAnsi="Calibri" w:cs="Calibri"/>
          <w:color w:val="222222"/>
          <w:sz w:val="20"/>
          <w:szCs w:val="20"/>
        </w:rPr>
        <w:t>Mr. Justice Rehnquist, dissenting.</w:t>
      </w:r>
      <w:r>
        <w:rPr>
          <w:rFonts w:ascii="Georgia" w:eastAsia="Times New Roman" w:hAnsi="Georgia" w:cs="Calibri"/>
          <w:color w:val="000000"/>
          <w:spacing w:val="-15"/>
          <w:kern w:val="36"/>
          <w:sz w:val="54"/>
          <w:szCs w:val="54"/>
        </w:rPr>
        <w:br/>
      </w:r>
      <w:r>
        <w:rPr>
          <w:rFonts w:ascii="Georgia" w:eastAsia="Times New Roman" w:hAnsi="Georgia" w:cs="Calibri"/>
          <w:color w:val="000000"/>
          <w:spacing w:val="-15"/>
          <w:kern w:val="36"/>
        </w:rPr>
        <w:br/>
      </w:r>
      <w:r w:rsidRPr="009D733A">
        <w:rPr>
          <w:rFonts w:ascii="Times New Roman" w:eastAsia="Times New Roman" w:hAnsi="Times New Roman" w:cs="Times New Roman"/>
          <w:color w:val="222222"/>
        </w:rPr>
        <w:t>The Court's opinion brings to the decision of this troubling question both extensive historical fact and a wealth of legal scholarship. While the opinion thus commands my respect, I find myself nonetheless in fundamental disagreement with those parts of it that invalidate the Texas statute in question, and therefore dissent.</w:t>
      </w:r>
    </w:p>
    <w:p w:rsidR="00D557AA" w:rsidRPr="009D733A" w:rsidRDefault="00D557AA" w:rsidP="00D557AA">
      <w:pPr>
        <w:shd w:val="clear" w:color="auto" w:fill="FFFFFF"/>
        <w:spacing w:before="120" w:after="120" w:line="240" w:lineRule="auto"/>
        <w:rPr>
          <w:rFonts w:ascii="Times New Roman" w:eastAsia="Times New Roman" w:hAnsi="Times New Roman" w:cs="Times New Roman"/>
          <w:color w:val="222222"/>
        </w:rPr>
      </w:pPr>
      <w:r w:rsidRPr="009D733A">
        <w:rPr>
          <w:rFonts w:ascii="Times New Roman" w:eastAsia="Times New Roman" w:hAnsi="Times New Roman" w:cs="Times New Roman"/>
          <w:color w:val="222222"/>
        </w:rPr>
        <w:t xml:space="preserve">The Court's opinion decides that a State may impose virtually no restriction on the performance of abortions during the first trimester of pregnancy. [However, no party in the case was currently in her first trimester of pregnancy.] … Even if there were a plaintiff in this case capable of litigating the issue which the Court decides, I would reach a conclusion opposite to that reached by the Court. I have difficulty in concluding, as the Court does, that the right of "privacy" is involved in this case. Texas, by the statute here challenged, bars the performance of a medical abortion by a licensed physician on a plaintiff such as Roe. A transaction resulting in an operation such as this is not "private" in the ordinary usage of that word. Nor is the "privacy" that the Court finds here even a distant relative of the freedom from searches and seizures protected by the Fourth Amendment to the Constitution, which the Court has referred to as embodying a right to privacy. </w:t>
      </w:r>
    </w:p>
    <w:p w:rsidR="00D557AA" w:rsidRPr="009D733A" w:rsidRDefault="00D557AA" w:rsidP="00D557AA">
      <w:pPr>
        <w:shd w:val="clear" w:color="auto" w:fill="FFFFFF"/>
        <w:spacing w:before="120" w:after="120" w:line="240" w:lineRule="auto"/>
        <w:rPr>
          <w:rFonts w:ascii="Times New Roman" w:eastAsia="Times New Roman" w:hAnsi="Times New Roman" w:cs="Times New Roman"/>
          <w:color w:val="222222"/>
        </w:rPr>
      </w:pPr>
      <w:r w:rsidRPr="009D733A">
        <w:rPr>
          <w:rFonts w:ascii="Times New Roman" w:eastAsia="Times New Roman" w:hAnsi="Times New Roman" w:cs="Times New Roman"/>
          <w:color w:val="222222"/>
        </w:rPr>
        <w:t>… The Due Process Clause of the Fourteenth Amendment undoubtedly does place a limit, albeit a broad one, on legislative power to enact laws such as this. If the Texas statute were to prohibit an abortion even where the mother's life is in jeopardy, I have little doubt that such a statute would lack a rational relation to a valid state objective ... But the Court's sweeping invalidation of any restrictions on abortion during the first trimester is impossible to justify under that standard, and the conscious weighing of competing factors that the Court's opinion apparently substitutes for the established test is far more appropriate to a legislative judgment than to a judicial one.</w:t>
      </w:r>
    </w:p>
    <w:p w:rsidR="00D557AA" w:rsidRPr="009D733A" w:rsidRDefault="00D557AA" w:rsidP="00D557AA">
      <w:pPr>
        <w:pStyle w:val="NoSpacing"/>
        <w:jc w:val="left"/>
        <w:rPr>
          <w:rFonts w:ascii="Times New Roman" w:hAnsi="Times New Roman" w:cs="Times New Roman"/>
          <w:sz w:val="24"/>
          <w:szCs w:val="24"/>
        </w:rPr>
      </w:pPr>
      <w:r w:rsidRPr="009D733A">
        <w:rPr>
          <w:rFonts w:ascii="Times New Roman" w:hAnsi="Times New Roman" w:cs="Times New Roman"/>
        </w:rPr>
        <w:t>…To reach its result, the Court necessarily has had to find within the scope of the Fourteenth Amendment a right that was apparently completely unknown to the drafters of the Amendment. …. The only conclusion possible from this history is that the drafters did not intend to have the Fourteenth Amendment withdraw from the States the power to legislate with respect to this matter.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733A">
        <w:rPr>
          <w:rFonts w:ascii="Times New Roman" w:hAnsi="Times New Roman" w:cs="Times New Roman"/>
          <w:sz w:val="24"/>
          <w:szCs w:val="24"/>
        </w:rPr>
        <w:tab/>
      </w:r>
      <w:r w:rsidRPr="009D733A">
        <w:rPr>
          <w:rFonts w:ascii="Times New Roman" w:hAnsi="Times New Roman" w:cs="Times New Roman"/>
          <w:sz w:val="24"/>
          <w:szCs w:val="24"/>
        </w:rPr>
        <w:tab/>
      </w:r>
      <w:r w:rsidRPr="009D733A">
        <w:rPr>
          <w:rFonts w:ascii="Times New Roman" w:hAnsi="Times New Roman" w:cs="Times New Roman"/>
          <w:b/>
          <w:bCs/>
          <w:caps/>
          <w:color w:val="7F0000"/>
          <w:spacing w:val="15"/>
        </w:rPr>
        <w:t>Questions to Consider</w:t>
      </w:r>
      <w:r w:rsidRPr="009D733A">
        <w:rPr>
          <w:rFonts w:ascii="Times New Roman" w:hAnsi="Times New Roman" w:cs="Times New Roman"/>
          <w:sz w:val="24"/>
          <w:szCs w:val="24"/>
        </w:rPr>
        <w:br/>
      </w:r>
      <w:r w:rsidRPr="009D733A">
        <w:rPr>
          <w:rFonts w:ascii="Times New Roman" w:hAnsi="Times New Roman" w:cs="Times New Roman"/>
          <w:sz w:val="12"/>
          <w:szCs w:val="12"/>
        </w:rPr>
        <w:br/>
      </w:r>
      <w:r w:rsidRPr="009D733A">
        <w:rPr>
          <w:rFonts w:ascii="Times New Roman" w:hAnsi="Times New Roman" w:cs="Times New Roman"/>
        </w:rPr>
        <w:t xml:space="preserve">1. What are Justice Rehnquist’s reasons for disagreeing with the right to privacy that is recognized in the majority opinion? </w:t>
      </w:r>
    </w:p>
    <w:p w:rsidR="00D557AA" w:rsidRPr="009D733A" w:rsidRDefault="00D557AA" w:rsidP="00D557AA">
      <w:pPr>
        <w:pStyle w:val="NoSpacing"/>
        <w:jc w:val="left"/>
        <w:rPr>
          <w:rFonts w:ascii="Times New Roman" w:hAnsi="Times New Roman" w:cs="Times New Roman"/>
        </w:rPr>
      </w:pPr>
    </w:p>
    <w:p w:rsidR="00D557AA" w:rsidRDefault="00D557AA" w:rsidP="00D557AA">
      <w:pPr>
        <w:pStyle w:val="NoSpacing"/>
        <w:jc w:val="left"/>
        <w:rPr>
          <w:rFonts w:ascii="Times New Roman" w:hAnsi="Times New Roman" w:cs="Times New Roman"/>
        </w:rPr>
      </w:pPr>
    </w:p>
    <w:p w:rsidR="00D557AA" w:rsidRDefault="00D557AA" w:rsidP="00D557AA">
      <w:pPr>
        <w:pStyle w:val="NoSpacing"/>
        <w:jc w:val="left"/>
        <w:rPr>
          <w:rFonts w:ascii="Times New Roman" w:hAnsi="Times New Roman" w:cs="Times New Roman"/>
        </w:rPr>
      </w:pPr>
    </w:p>
    <w:p w:rsidR="00D557AA" w:rsidRDefault="00D557AA" w:rsidP="00D557AA">
      <w:pPr>
        <w:pStyle w:val="NoSpacing"/>
        <w:jc w:val="left"/>
        <w:rPr>
          <w:rFonts w:ascii="Times New Roman" w:hAnsi="Times New Roman" w:cs="Times New Roman"/>
        </w:rPr>
      </w:pPr>
    </w:p>
    <w:p w:rsidR="00D557AA" w:rsidRPr="009D733A" w:rsidRDefault="00D557AA" w:rsidP="00D557AA">
      <w:pPr>
        <w:pStyle w:val="NoSpacing"/>
        <w:jc w:val="left"/>
        <w:rPr>
          <w:rFonts w:ascii="Times New Roman" w:hAnsi="Times New Roman" w:cs="Times New Roman"/>
        </w:rPr>
      </w:pPr>
    </w:p>
    <w:p w:rsidR="00D557AA" w:rsidRPr="009D733A" w:rsidRDefault="00D557AA" w:rsidP="00D557AA">
      <w:pPr>
        <w:pStyle w:val="NoSpacing"/>
        <w:jc w:val="left"/>
        <w:rPr>
          <w:rFonts w:ascii="Times New Roman" w:hAnsi="Times New Roman" w:cs="Times New Roman"/>
          <w:b/>
          <w:bCs/>
          <w:caps/>
          <w:color w:val="7F0000"/>
          <w:spacing w:val="15"/>
        </w:rPr>
      </w:pPr>
      <w:r w:rsidRPr="009D733A">
        <w:rPr>
          <w:rFonts w:ascii="Times New Roman" w:hAnsi="Times New Roman" w:cs="Times New Roman"/>
        </w:rPr>
        <w:t xml:space="preserve">2. What kind of abortion law would Justice Rehnquist agree is unconstitutional? </w:t>
      </w:r>
    </w:p>
    <w:p w:rsidR="00D557AA" w:rsidRPr="009D733A" w:rsidRDefault="00D557AA" w:rsidP="00D557AA">
      <w:pPr>
        <w:pStyle w:val="NoSpacing"/>
        <w:jc w:val="left"/>
        <w:rPr>
          <w:rFonts w:ascii="Times New Roman" w:hAnsi="Times New Roman" w:cs="Times New Roman"/>
          <w:b/>
          <w:bCs/>
          <w:caps/>
          <w:color w:val="7F0000"/>
          <w:spacing w:val="15"/>
        </w:rPr>
      </w:pPr>
    </w:p>
    <w:p w:rsidR="00D557AA" w:rsidRDefault="00D557AA" w:rsidP="00D557AA">
      <w:pPr>
        <w:pStyle w:val="NoSpacing"/>
        <w:jc w:val="left"/>
        <w:rPr>
          <w:rFonts w:ascii="Times New Roman" w:hAnsi="Times New Roman" w:cs="Times New Roman"/>
        </w:rPr>
      </w:pPr>
    </w:p>
    <w:p w:rsidR="00D557AA" w:rsidRDefault="00D557AA" w:rsidP="00D557AA">
      <w:pPr>
        <w:pStyle w:val="NoSpacing"/>
        <w:jc w:val="left"/>
        <w:rPr>
          <w:rFonts w:ascii="Times New Roman" w:hAnsi="Times New Roman" w:cs="Times New Roman"/>
        </w:rPr>
      </w:pPr>
    </w:p>
    <w:p w:rsidR="00D557AA" w:rsidRDefault="00D557AA" w:rsidP="00D557AA">
      <w:pPr>
        <w:pStyle w:val="NoSpacing"/>
        <w:jc w:val="left"/>
        <w:rPr>
          <w:rFonts w:ascii="Times New Roman" w:hAnsi="Times New Roman" w:cs="Times New Roman"/>
        </w:rPr>
      </w:pPr>
    </w:p>
    <w:p w:rsidR="00D557AA" w:rsidRPr="009D733A" w:rsidRDefault="00D557AA" w:rsidP="00D557AA">
      <w:pPr>
        <w:pStyle w:val="NoSpacing"/>
        <w:jc w:val="left"/>
        <w:rPr>
          <w:rFonts w:ascii="Times New Roman" w:hAnsi="Times New Roman" w:cs="Times New Roman"/>
        </w:rPr>
      </w:pPr>
    </w:p>
    <w:p w:rsidR="00D557AA" w:rsidRPr="009D733A" w:rsidRDefault="00D557AA" w:rsidP="00D557AA">
      <w:pPr>
        <w:pStyle w:val="NoSpacing"/>
        <w:jc w:val="left"/>
        <w:rPr>
          <w:rFonts w:ascii="Times New Roman" w:hAnsi="Times New Roman" w:cs="Times New Roman"/>
        </w:rPr>
      </w:pPr>
    </w:p>
    <w:p w:rsidR="00D557AA" w:rsidRPr="009D733A" w:rsidRDefault="00D557AA" w:rsidP="00D557AA">
      <w:pPr>
        <w:pStyle w:val="NoSpacing"/>
        <w:jc w:val="left"/>
        <w:rPr>
          <w:rFonts w:ascii="Times New Roman" w:hAnsi="Times New Roman" w:cs="Times New Roman"/>
          <w:b/>
          <w:bCs/>
          <w:caps/>
          <w:color w:val="7F0000"/>
          <w:spacing w:val="15"/>
        </w:rPr>
      </w:pPr>
      <w:r w:rsidRPr="009D733A">
        <w:rPr>
          <w:rFonts w:ascii="Times New Roman" w:hAnsi="Times New Roman" w:cs="Times New Roman"/>
        </w:rPr>
        <w:t>3. Justice Rehnquist argues that the drafters of the Fourteenth Amendment did not intend for the rights to be extended to include abortion. Do you think he is correct? Should a right only be recognized if it was intended by the original drafters of the Constitution or the amendments? Explain your answer.</w:t>
      </w:r>
    </w:p>
    <w:p w:rsidR="00D557AA" w:rsidRDefault="00D557AA" w:rsidP="00D557AA"/>
    <w:p w:rsidR="00D557AA" w:rsidRDefault="00D557AA" w:rsidP="00D557AA"/>
    <w:p w:rsidR="00D557AA" w:rsidRDefault="00D557AA" w:rsidP="00D557AA">
      <w:pPr>
        <w:spacing w:before="180" w:after="0" w:line="240" w:lineRule="auto"/>
        <w:textAlignment w:val="baseline"/>
        <w:outlineLvl w:val="0"/>
        <w:rPr>
          <w:rFonts w:ascii="Georgia" w:eastAsia="Times New Roman" w:hAnsi="Georgia" w:cs="Times New Roman"/>
          <w:color w:val="000000"/>
          <w:spacing w:val="-15"/>
          <w:kern w:val="36"/>
          <w:sz w:val="54"/>
          <w:szCs w:val="54"/>
        </w:rPr>
      </w:pPr>
    </w:p>
    <w:p w:rsidR="00881734" w:rsidRDefault="00881734"/>
    <w:sectPr w:rsidR="00881734" w:rsidSect="00D557AA">
      <w:pgSz w:w="12240" w:h="15840"/>
      <w:pgMar w:top="720" w:right="360" w:bottom="90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AA"/>
    <w:rsid w:val="00881734"/>
    <w:rsid w:val="00D5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30E7B-8461-48E3-BEF6-2D0A882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7A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2020-04-02T15:51:00Z</dcterms:created>
  <dcterms:modified xsi:type="dcterms:W3CDTF">2020-04-02T15:52:00Z</dcterms:modified>
</cp:coreProperties>
</file>